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32FAA">
      <w:pPr>
        <w:spacing w:line="360" w:lineRule="auto"/>
        <w:ind w:firstLine="482" w:firstLineChars="200"/>
        <w:rPr>
          <w:rFonts w:hint="eastAsia" w:ascii="宋体" w:hAnsi="宋体"/>
          <w:b/>
          <w:sz w:val="24"/>
        </w:rPr>
      </w:pPr>
      <w:r>
        <w:rPr>
          <w:rFonts w:hint="eastAsia" w:ascii="宋体" w:hAnsi="宋体"/>
          <w:b/>
          <w:sz w:val="24"/>
        </w:rPr>
        <w:t>四、技术要求</w:t>
      </w:r>
    </w:p>
    <w:p w14:paraId="0E487403">
      <w:pPr>
        <w:spacing w:line="360" w:lineRule="auto"/>
        <w:ind w:firstLine="480" w:firstLineChars="200"/>
        <w:rPr>
          <w:rFonts w:hint="eastAsia" w:ascii="宋体" w:hAnsi="宋体"/>
          <w:sz w:val="24"/>
        </w:rPr>
      </w:pPr>
      <w:r>
        <w:rPr>
          <w:rFonts w:hint="eastAsia" w:ascii="宋体" w:hAnsi="宋体"/>
          <w:sz w:val="24"/>
        </w:rPr>
        <w:t>天津中医药大学负载均衡设备采购项目</w:t>
      </w:r>
    </w:p>
    <w:tbl>
      <w:tblPr>
        <w:tblStyle w:val="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806"/>
        <w:gridCol w:w="5599"/>
        <w:gridCol w:w="567"/>
        <w:gridCol w:w="425"/>
        <w:gridCol w:w="665"/>
        <w:gridCol w:w="805"/>
      </w:tblGrid>
      <w:tr w14:paraId="3B4A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Align w:val="center"/>
          </w:tcPr>
          <w:p w14:paraId="0C97561C">
            <w:pPr>
              <w:jc w:val="center"/>
              <w:rPr>
                <w:b/>
                <w:szCs w:val="21"/>
              </w:rPr>
            </w:pPr>
            <w:r>
              <w:rPr>
                <w:b/>
                <w:szCs w:val="21"/>
              </w:rPr>
              <w:t>序号</w:t>
            </w:r>
          </w:p>
        </w:tc>
        <w:tc>
          <w:tcPr>
            <w:tcW w:w="806" w:type="dxa"/>
            <w:vAlign w:val="center"/>
          </w:tcPr>
          <w:p w14:paraId="24CF1A6F">
            <w:pPr>
              <w:jc w:val="center"/>
              <w:rPr>
                <w:b/>
                <w:szCs w:val="21"/>
              </w:rPr>
            </w:pPr>
            <w:r>
              <w:rPr>
                <w:rFonts w:hint="eastAsia"/>
                <w:b/>
                <w:szCs w:val="21"/>
              </w:rPr>
              <w:t>标的</w:t>
            </w:r>
            <w:r>
              <w:rPr>
                <w:b/>
                <w:szCs w:val="21"/>
              </w:rPr>
              <w:t>名称</w:t>
            </w:r>
          </w:p>
        </w:tc>
        <w:tc>
          <w:tcPr>
            <w:tcW w:w="5599" w:type="dxa"/>
            <w:vAlign w:val="center"/>
          </w:tcPr>
          <w:p w14:paraId="3835D8E2">
            <w:pPr>
              <w:jc w:val="center"/>
              <w:rPr>
                <w:b/>
                <w:szCs w:val="21"/>
              </w:rPr>
            </w:pPr>
            <w:r>
              <w:rPr>
                <w:b/>
                <w:szCs w:val="21"/>
              </w:rPr>
              <w:t>技术要求</w:t>
            </w:r>
          </w:p>
        </w:tc>
        <w:tc>
          <w:tcPr>
            <w:tcW w:w="567" w:type="dxa"/>
            <w:vAlign w:val="center"/>
          </w:tcPr>
          <w:p w14:paraId="04CE37AA">
            <w:pPr>
              <w:jc w:val="center"/>
              <w:rPr>
                <w:b/>
                <w:szCs w:val="21"/>
              </w:rPr>
            </w:pPr>
            <w:r>
              <w:rPr>
                <w:b/>
                <w:szCs w:val="21"/>
              </w:rPr>
              <w:t>单位</w:t>
            </w:r>
          </w:p>
        </w:tc>
        <w:tc>
          <w:tcPr>
            <w:tcW w:w="425" w:type="dxa"/>
            <w:vAlign w:val="center"/>
          </w:tcPr>
          <w:p w14:paraId="763A14E6">
            <w:pPr>
              <w:jc w:val="center"/>
              <w:rPr>
                <w:b/>
                <w:szCs w:val="21"/>
              </w:rPr>
            </w:pPr>
            <w:r>
              <w:rPr>
                <w:b/>
                <w:szCs w:val="21"/>
              </w:rPr>
              <w:t>数量</w:t>
            </w:r>
          </w:p>
        </w:tc>
        <w:tc>
          <w:tcPr>
            <w:tcW w:w="665" w:type="dxa"/>
            <w:vAlign w:val="center"/>
          </w:tcPr>
          <w:p w14:paraId="2D40B8D6">
            <w:pPr>
              <w:jc w:val="center"/>
              <w:rPr>
                <w:b/>
                <w:szCs w:val="21"/>
              </w:rPr>
            </w:pPr>
            <w:r>
              <w:rPr>
                <w:b/>
                <w:szCs w:val="21"/>
              </w:rPr>
              <w:t>是否属于现行节能产品政府采购清单强制采购范围</w:t>
            </w:r>
          </w:p>
        </w:tc>
        <w:tc>
          <w:tcPr>
            <w:tcW w:w="805" w:type="dxa"/>
            <w:vAlign w:val="center"/>
          </w:tcPr>
          <w:p w14:paraId="26FFB832">
            <w:pPr>
              <w:jc w:val="center"/>
              <w:rPr>
                <w:b/>
                <w:szCs w:val="21"/>
              </w:rPr>
            </w:pPr>
            <w:r>
              <w:rPr>
                <w:b/>
                <w:szCs w:val="21"/>
              </w:rPr>
              <w:t>是否属于集采目录内产品</w:t>
            </w:r>
          </w:p>
        </w:tc>
      </w:tr>
      <w:tr w14:paraId="757D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13" w:type="dxa"/>
            <w:vAlign w:val="center"/>
          </w:tcPr>
          <w:p w14:paraId="6C0ADAC6">
            <w:pPr>
              <w:jc w:val="center"/>
              <w:rPr>
                <w:szCs w:val="21"/>
              </w:rPr>
            </w:pPr>
            <w:r>
              <w:rPr>
                <w:rFonts w:hint="eastAsia"/>
                <w:szCs w:val="21"/>
              </w:rPr>
              <w:t>1</w:t>
            </w:r>
          </w:p>
        </w:tc>
        <w:tc>
          <w:tcPr>
            <w:tcW w:w="806" w:type="dxa"/>
            <w:vAlign w:val="center"/>
          </w:tcPr>
          <w:p w14:paraId="7777D4B0">
            <w:pPr>
              <w:jc w:val="center"/>
              <w:rPr>
                <w:szCs w:val="21"/>
              </w:rPr>
            </w:pPr>
            <w:r>
              <w:rPr>
                <w:rFonts w:hint="eastAsia"/>
                <w:szCs w:val="21"/>
              </w:rPr>
              <w:t>负载均衡</w:t>
            </w:r>
          </w:p>
        </w:tc>
        <w:tc>
          <w:tcPr>
            <w:tcW w:w="5599" w:type="dxa"/>
            <w:vAlign w:val="center"/>
          </w:tcPr>
          <w:p w14:paraId="387840F6">
            <w:pPr>
              <w:numPr>
                <w:ilvl w:val="0"/>
                <w:numId w:val="1"/>
              </w:numPr>
              <w:rPr>
                <w:rFonts w:hint="eastAsia" w:ascii="宋体" w:hAnsi="宋体"/>
                <w:color w:val="000000" w:themeColor="text1"/>
                <w:szCs w:val="21"/>
                <w14:textFill>
                  <w14:solidFill>
                    <w14:schemeClr w14:val="tx1"/>
                  </w14:solidFill>
                </w14:textFill>
              </w:rPr>
            </w:pPr>
            <w:r>
              <w:rPr>
                <w:rFonts w:hint="eastAsia" w:ascii="宋体" w:hAnsi="宋体" w:cs="宋体"/>
                <w:szCs w:val="21"/>
              </w:rPr>
              <w:t>★</w:t>
            </w:r>
            <w:r>
              <w:rPr>
                <w:rFonts w:hint="eastAsia" w:ascii="宋体" w:hAnsi="宋体"/>
                <w:color w:val="000000" w:themeColor="text1"/>
                <w:szCs w:val="21"/>
                <w14:textFill>
                  <w14:solidFill>
                    <w14:schemeClr w14:val="tx1"/>
                  </w14:solidFill>
                </w14:textFill>
              </w:rPr>
              <w:t>x86架构；</w:t>
            </w:r>
            <w:r>
              <w:rPr>
                <w:rFonts w:hint="eastAsia" w:ascii="宋体" w:hAnsi="宋体"/>
                <w:szCs w:val="21"/>
              </w:rPr>
              <w:t>专业负载均衡设备</w:t>
            </w:r>
            <w:r>
              <w:rPr>
                <w:rFonts w:hint="eastAsia" w:ascii="宋体" w:hAnsi="宋体"/>
                <w:bCs/>
                <w:szCs w:val="21"/>
              </w:rPr>
              <w:t>；</w:t>
            </w:r>
            <w:r>
              <w:rPr>
                <w:rFonts w:hint="eastAsia" w:ascii="宋体" w:hAnsi="宋体"/>
                <w:szCs w:val="21"/>
              </w:rPr>
              <w:t>配置双主控板模式；要求不小于5U机架式设备。</w:t>
            </w:r>
            <w:r>
              <w:rPr>
                <w:rFonts w:hint="eastAsia" w:ascii="宋体" w:hAnsi="宋体"/>
                <w:color w:val="000000" w:themeColor="text1"/>
                <w:szCs w:val="21"/>
                <w14:textFill>
                  <w14:solidFill>
                    <w14:schemeClr w14:val="tx1"/>
                  </w14:solidFill>
                </w14:textFill>
              </w:rPr>
              <w:t>每个主控板提供不少于1个CONSOLE、2个USB2.0接口、1个10/100/1000BASE-T管理网口。</w:t>
            </w:r>
          </w:p>
          <w:p w14:paraId="7860E4D8">
            <w:pPr>
              <w:numPr>
                <w:ilvl w:val="0"/>
                <w:numId w:val="1"/>
              </w:numPr>
              <w:rPr>
                <w:rFonts w:hint="eastAsia" w:ascii="宋体" w:hAnsi="宋体"/>
                <w:color w:val="000000" w:themeColor="text1"/>
                <w:szCs w:val="21"/>
                <w14:textFill>
                  <w14:solidFill>
                    <w14:schemeClr w14:val="tx1"/>
                  </w14:solidFill>
                </w14:textFill>
              </w:rPr>
            </w:pPr>
            <w:r>
              <w:rPr>
                <w:rFonts w:hint="eastAsia" w:ascii="宋体" w:hAnsi="宋体" w:cs="宋体"/>
                <w:szCs w:val="21"/>
              </w:rPr>
              <w:t>★</w:t>
            </w:r>
            <w:r>
              <w:rPr>
                <w:rFonts w:hint="eastAsia" w:ascii="宋体" w:hAnsi="宋体"/>
                <w:color w:val="000000" w:themeColor="text1"/>
                <w:szCs w:val="21"/>
                <w14:textFill>
                  <w14:solidFill>
                    <w14:schemeClr w14:val="tx1"/>
                  </w14:solidFill>
                </w14:textFill>
              </w:rPr>
              <w:t>配置不少于16个10GBASE-R/1000BASE-X以太网光接口（SFPplus）、4个40GE以太网光接口（QSFP+）；配置不少于3块800W通用交流电源模块。</w:t>
            </w:r>
          </w:p>
          <w:p w14:paraId="38383D9D">
            <w:pPr>
              <w:numPr>
                <w:ilvl w:val="0"/>
                <w:numId w:val="1"/>
              </w:numPr>
              <w:rPr>
                <w:rFonts w:hint="eastAsia" w:ascii="宋体" w:hAnsi="宋体"/>
                <w:color w:val="000000" w:themeColor="text1"/>
                <w:szCs w:val="21"/>
                <w14:textFill>
                  <w14:solidFill>
                    <w14:schemeClr w14:val="tx1"/>
                  </w14:solidFill>
                </w14:textFill>
              </w:rPr>
            </w:pPr>
            <w:r>
              <w:rPr>
                <w:rFonts w:hint="eastAsia" w:ascii="宋体" w:hAnsi="宋体" w:cs="宋体"/>
                <w:szCs w:val="21"/>
              </w:rPr>
              <w:t>★</w:t>
            </w:r>
            <w:r>
              <w:rPr>
                <w:rFonts w:hint="eastAsia" w:ascii="宋体" w:hAnsi="宋体"/>
                <w:color w:val="000000" w:themeColor="text1"/>
                <w:szCs w:val="21"/>
                <w14:textFill>
                  <w14:solidFill>
                    <w14:schemeClr w14:val="tx1"/>
                  </w14:solidFill>
                </w14:textFill>
              </w:rPr>
              <w:t>最大整机吞吐量不低于320Gbps；最大并发连接数不低于6000万</w:t>
            </w:r>
            <w:r>
              <w:rPr>
                <w:rFonts w:hint="eastAsia" w:ascii="宋体" w:hAnsi="宋体"/>
                <w:szCs w:val="21"/>
              </w:rPr>
              <w:t>。</w:t>
            </w:r>
          </w:p>
          <w:p w14:paraId="60A06F59">
            <w:pPr>
              <w:numPr>
                <w:ilvl w:val="0"/>
                <w:numId w:val="1"/>
              </w:numPr>
              <w:rPr>
                <w:rFonts w:hint="eastAsia" w:ascii="宋体" w:hAnsi="宋体"/>
                <w:szCs w:val="21"/>
              </w:rPr>
            </w:pPr>
            <w:r>
              <w:rPr>
                <w:rFonts w:ascii="宋体" w:hAnsi="宋体"/>
                <w:color w:val="000000"/>
                <w:kern w:val="0"/>
                <w:szCs w:val="21"/>
              </w:rPr>
              <w:t>含</w:t>
            </w:r>
            <w:r>
              <w:rPr>
                <w:rFonts w:hint="eastAsia" w:ascii="宋体" w:hAnsi="宋体"/>
                <w:color w:val="000000"/>
                <w:kern w:val="0"/>
                <w:szCs w:val="21"/>
              </w:rPr>
              <w:t>产品保修</w:t>
            </w:r>
            <w:r>
              <w:rPr>
                <w:rFonts w:ascii="宋体" w:hAnsi="宋体"/>
                <w:color w:val="000000"/>
                <w:kern w:val="0"/>
                <w:szCs w:val="21"/>
              </w:rPr>
              <w:t>5年</w:t>
            </w:r>
            <w:r>
              <w:rPr>
                <w:rFonts w:hint="eastAsia" w:ascii="宋体" w:hAnsi="宋体"/>
                <w:color w:val="000000"/>
                <w:kern w:val="0"/>
                <w:szCs w:val="21"/>
              </w:rPr>
              <w:t>。</w:t>
            </w:r>
          </w:p>
          <w:p w14:paraId="05DC95D5">
            <w:pPr>
              <w:numPr>
                <w:ilvl w:val="0"/>
                <w:numId w:val="1"/>
              </w:numPr>
              <w:rPr>
                <w:rFonts w:hint="eastAsia" w:ascii="宋体" w:hAnsi="宋体"/>
                <w:szCs w:val="21"/>
              </w:rPr>
            </w:pPr>
            <w:r>
              <w:rPr>
                <w:rFonts w:hint="eastAsia" w:ascii="宋体" w:hAnsi="宋体"/>
                <w:szCs w:val="21"/>
              </w:rPr>
              <w:t>支持多功能合一同时支持链路负载均衡、服务器负载均衡和全局负载均衡的功能,无需额外购买相应授权。</w:t>
            </w:r>
          </w:p>
          <w:p w14:paraId="7A6CC073">
            <w:pPr>
              <w:numPr>
                <w:ilvl w:val="0"/>
                <w:numId w:val="1"/>
              </w:numPr>
              <w:rPr>
                <w:rFonts w:hint="eastAsia" w:ascii="宋体" w:hAnsi="宋体"/>
                <w:szCs w:val="21"/>
              </w:rPr>
            </w:pPr>
            <w:r>
              <w:rPr>
                <w:rFonts w:hint="eastAsia" w:ascii="宋体" w:hAnsi="宋体"/>
                <w:szCs w:val="21"/>
              </w:rPr>
              <w:t>支持轮询算法、比率算法、拓扑算法、备用地址算法、丢包算法、最小连接数算法、最小往返延时算法、最小连接速率算法、最小跳数算法、最小包速率算法、最大带宽利用率算法。</w:t>
            </w:r>
            <w:r>
              <w:rPr>
                <w:rFonts w:hint="eastAsia" w:ascii="宋体" w:hAnsi="宋体"/>
                <w:kern w:val="0"/>
                <w:szCs w:val="21"/>
              </w:rPr>
              <w:t>（提供功能截图证明）</w:t>
            </w:r>
          </w:p>
          <w:p w14:paraId="39200532">
            <w:pPr>
              <w:numPr>
                <w:ilvl w:val="0"/>
                <w:numId w:val="1"/>
              </w:num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健康检查类型包括ICMP、TCP、TCP_ECV、UDP、TCP被动、HTTP、HTTPS、FIX、SSL、SOAP、HTTP被动、RADIUS、LDAP、WAP、DNS、IMAP、POP3、SMTP、FTP、EXTERNAL、数据库等。</w:t>
            </w:r>
          </w:p>
          <w:p w14:paraId="1C742E1A">
            <w:pPr>
              <w:numPr>
                <w:ilvl w:val="0"/>
                <w:numId w:val="1"/>
              </w:num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DNS server支持A记录,AAAA记录，CNAME记录，MX记录、NS记录、TXT记录、CAA记录、SRV记录；支持主域名服务器、从域名服务器和转发域名服务器。支持DNS防火墙功能。（提供功能截图证明）</w:t>
            </w:r>
          </w:p>
          <w:p w14:paraId="3019543E">
            <w:pPr>
              <w:numPr>
                <w:ilvl w:val="0"/>
                <w:numId w:val="1"/>
              </w:num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内置SSL卸载模块，SSL工作减轻服务器负担。支持服务器CA证书导入，提供证书单向和双向认证，双向认证支持透传客户端证书给后台服务器。</w:t>
            </w:r>
          </w:p>
          <w:p w14:paraId="56C19C39">
            <w:pPr>
              <w:numPr>
                <w:ilvl w:val="0"/>
                <w:numId w:val="1"/>
              </w:num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利用读写分离技术实现数据库负载且无需在服务器上安装任何插件或软件。通过对数据库操作请求做内容解析，将其中的写操作调度到指定服务器，减少服务器压力，提高数据库资源利用率，提升业务响应速度。</w:t>
            </w:r>
          </w:p>
          <w:p w14:paraId="5C931E68">
            <w:pPr>
              <w:numPr>
                <w:ilvl w:val="0"/>
                <w:numId w:val="1"/>
              </w:num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地址库包含国内ISP地址库、全国地址库和全球地址库，支持地址库手动导入，支持地址库查询。（提供功能截图证明）</w:t>
            </w:r>
          </w:p>
          <w:p w14:paraId="1302649C">
            <w:pPr>
              <w:numPr>
                <w:ilvl w:val="0"/>
                <w:numId w:val="1"/>
              </w:num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支持页面加速功能支持CSS加速功能，支持内嵌CSS,合并CSS,最小化CSS；支持JavaScript加速功能，支持内嵌JS，合并JS，最小化JS；支持HTML加速功能，支持去除空白，去除注释。</w:t>
            </w:r>
          </w:p>
          <w:p w14:paraId="5DDA6C91">
            <w:pPr>
              <w:numPr>
                <w:ilvl w:val="0"/>
                <w:numId w:val="1"/>
              </w:num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支持网络防火墙功能，支持基于源地址、源区域、源端口、目的地址、目的区域、服务、时间进行访问控制。</w:t>
            </w:r>
          </w:p>
          <w:p w14:paraId="1F83E3D9">
            <w:pPr>
              <w:numPr>
                <w:ilvl w:val="0"/>
                <w:numId w:val="1"/>
              </w:num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支持提供四七层抗DDoS攻击功能。支持IP、ICMP、TCP、UDP、DNS、HTTP、HTTPS、NTP、SIP。</w:t>
            </w:r>
          </w:p>
          <w:p w14:paraId="21C8C843">
            <w:pPr>
              <w:numPr>
                <w:ilvl w:val="0"/>
                <w:numId w:val="1"/>
              </w:num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提供漏洞扫描功能。设备内置漏洞特征库，可针对应用服务器或者整个IP网段进行定向扫描分析，发现服务器操作系统漏洞并生成漏洞分析报告。</w:t>
            </w:r>
          </w:p>
          <w:p w14:paraId="2EB7704F">
            <w:pPr>
              <w:numPr>
                <w:ilvl w:val="0"/>
                <w:numId w:val="1"/>
              </w:num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支持HTTP2网关部署，在不改变web服务器的情况下将对外服务协议从HTTP1.1/1.0升级至HTTP/2，提升终端用户使用体验和业务安全性。</w:t>
            </w:r>
          </w:p>
          <w:p w14:paraId="4E5C427E">
            <w:pPr>
              <w:numPr>
                <w:ilvl w:val="0"/>
                <w:numId w:val="1"/>
              </w:numPr>
              <w:rPr>
                <w:rFonts w:hint="eastAsia" w:ascii="宋体" w:hAnsi="宋体"/>
                <w:szCs w:val="21"/>
              </w:rPr>
            </w:pPr>
            <w:r>
              <w:rPr>
                <w:rFonts w:hint="eastAsia" w:ascii="宋体" w:hAnsi="宋体"/>
                <w:color w:val="000000" w:themeColor="text1"/>
                <w:szCs w:val="21"/>
                <w14:textFill>
                  <w14:solidFill>
                    <w14:schemeClr w14:val="tx1"/>
                  </w14:solidFill>
                </w14:textFill>
              </w:rPr>
              <w:t>支持标准的RESTful等形式的API接口，可与主流的自动化运维工具对接，实现日常运维配置包括自动化网络配置、NTP服务、SNMP服务等初始化参数。</w:t>
            </w:r>
          </w:p>
          <w:p w14:paraId="446FB3AA">
            <w:pPr>
              <w:snapToGrid w:val="0"/>
              <w:rPr>
                <w:rFonts w:hint="eastAsia" w:ascii="宋体" w:hAnsi="宋体"/>
                <w:color w:val="000000" w:themeColor="text1"/>
                <w:szCs w:val="21"/>
                <w14:textFill>
                  <w14:solidFill>
                    <w14:schemeClr w14:val="tx1"/>
                  </w14:solidFill>
                </w14:textFill>
              </w:rPr>
            </w:pPr>
            <w:r>
              <w:rPr>
                <w:rFonts w:hint="eastAsia" w:ascii="宋体" w:hAnsi="宋体"/>
                <w:bCs/>
                <w:szCs w:val="21"/>
              </w:rPr>
              <w:t>18.</w:t>
            </w:r>
            <w:r>
              <w:rPr>
                <w:rFonts w:hint="eastAsia" w:ascii="宋体" w:hAnsi="宋体"/>
                <w:color w:val="000000" w:themeColor="text1"/>
                <w:szCs w:val="21"/>
                <w14:textFill>
                  <w14:solidFill>
                    <w14:schemeClr w14:val="tx1"/>
                  </w14:solidFill>
                </w14:textFill>
              </w:rPr>
              <w:t>具备IPV6/IPV4双栈接入，支持NAT66、NAT64、NAT46、DNS64可对过渡型网络进行负载均衡。</w:t>
            </w:r>
          </w:p>
          <w:p w14:paraId="0C4C5D13">
            <w:pPr>
              <w:snapToGri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19.支持主域名服务器、从域名服务器和转发域名服务器。</w:t>
            </w:r>
          </w:p>
          <w:p w14:paraId="44F43492">
            <w:pPr>
              <w:snapToGri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20.支持X-forward-for，将客户端IP添加地址到 HTTP 请求报文的 X-forward-for 扩展头中，便于后期溯源。</w:t>
            </w:r>
          </w:p>
          <w:p w14:paraId="3E4FAF83">
            <w:pPr>
              <w:snapToGrid w:val="0"/>
              <w:rPr>
                <w:rFonts w:hint="eastAsia" w:ascii="宋体" w:hAnsi="宋体"/>
                <w:szCs w:val="21"/>
              </w:rPr>
            </w:pPr>
            <w:r>
              <w:rPr>
                <w:rFonts w:hint="eastAsia" w:ascii="宋体" w:hAnsi="宋体"/>
                <w:szCs w:val="21"/>
              </w:rPr>
              <w:t>21.支持TCP连接复用功能，降低服务器频繁三次握手的资源消耗，减少服务器端的工作负荷，提升业务效率</w:t>
            </w:r>
            <w:r>
              <w:rPr>
                <w:rFonts w:hint="eastAsia" w:ascii="宋体" w:hAnsi="宋体"/>
                <w:bCs/>
                <w:szCs w:val="21"/>
              </w:rPr>
              <w:t>（提供功能检测报告并加盖制造商公章）</w:t>
            </w:r>
            <w:r>
              <w:rPr>
                <w:rFonts w:hint="eastAsia" w:ascii="宋体" w:hAnsi="宋体"/>
                <w:szCs w:val="21"/>
              </w:rPr>
              <w:t>。</w:t>
            </w:r>
          </w:p>
          <w:p w14:paraId="120D16AD">
            <w:pPr>
              <w:snapToGrid w:val="0"/>
              <w:rPr>
                <w:rFonts w:hint="eastAsia" w:ascii="宋体" w:hAnsi="宋体"/>
                <w:szCs w:val="21"/>
              </w:rPr>
            </w:pPr>
            <w:r>
              <w:rPr>
                <w:rFonts w:hint="eastAsia" w:ascii="宋体" w:hAnsi="宋体"/>
                <w:szCs w:val="21"/>
              </w:rPr>
              <w:t>22.提供服务器过载保护功能，可针对服务器负载状态如新建连接数、并发连接数进行智能保护，如果达到保护阈值新的访问请求会自动迁移至其他服务器，支持服务器温暖上线和软关机、平滑退出功能</w:t>
            </w:r>
            <w:r>
              <w:rPr>
                <w:rFonts w:hint="eastAsia" w:ascii="宋体" w:hAnsi="宋体"/>
                <w:bCs/>
                <w:szCs w:val="21"/>
              </w:rPr>
              <w:t>（提供功能检测报告并加盖制造商公章）</w:t>
            </w:r>
            <w:r>
              <w:rPr>
                <w:rFonts w:hint="eastAsia" w:ascii="宋体" w:hAnsi="宋体"/>
                <w:szCs w:val="21"/>
              </w:rPr>
              <w:t>。</w:t>
            </w:r>
          </w:p>
          <w:p w14:paraId="1203B8FF">
            <w:pPr>
              <w:snapToGrid w:val="0"/>
              <w:rPr>
                <w:rFonts w:hint="eastAsia" w:ascii="宋体" w:hAnsi="宋体"/>
                <w:szCs w:val="21"/>
              </w:rPr>
            </w:pPr>
            <w:r>
              <w:rPr>
                <w:rFonts w:hint="eastAsia" w:ascii="宋体" w:hAnsi="宋体"/>
                <w:szCs w:val="21"/>
              </w:rPr>
              <w:t>23.支持服务器健康检查主动健康检查和被动健康检查相结合的方式</w:t>
            </w:r>
            <w:r>
              <w:rPr>
                <w:rFonts w:hint="eastAsia" w:ascii="宋体" w:hAnsi="宋体"/>
                <w:bCs/>
                <w:szCs w:val="21"/>
              </w:rPr>
              <w:t>（提供功能检测报告并加盖制造商公章）</w:t>
            </w:r>
            <w:r>
              <w:rPr>
                <w:rFonts w:hint="eastAsia" w:ascii="宋体" w:hAnsi="宋体"/>
                <w:szCs w:val="21"/>
              </w:rPr>
              <w:t>。</w:t>
            </w:r>
          </w:p>
          <w:p w14:paraId="4B276065">
            <w:pPr>
              <w:snapToGrid w:val="0"/>
              <w:rPr>
                <w:rFonts w:hint="eastAsia" w:ascii="宋体" w:hAnsi="宋体"/>
                <w:szCs w:val="21"/>
              </w:rPr>
            </w:pPr>
            <w:r>
              <w:rPr>
                <w:rFonts w:hint="eastAsia" w:ascii="宋体" w:hAnsi="宋体"/>
                <w:szCs w:val="21"/>
              </w:rPr>
              <w:t>24.</w:t>
            </w:r>
            <w:r>
              <w:rPr>
                <w:rFonts w:hint="eastAsia" w:ascii="宋体" w:hAnsi="宋体" w:cs="宋体"/>
                <w:szCs w:val="21"/>
              </w:rPr>
              <w:t>★管理要求：支持按照校级网络安全管理中心接口规范要求实时上报负载均衡设备告警及处置日志，提供加盖投标人公章的兼容性承诺函，明确承诺“支持按照校级网络安全管理中心接口规范要求实时上报告警及处置日志”；</w:t>
            </w:r>
          </w:p>
        </w:tc>
        <w:tc>
          <w:tcPr>
            <w:tcW w:w="567" w:type="dxa"/>
            <w:vAlign w:val="center"/>
          </w:tcPr>
          <w:p w14:paraId="40A9D14B">
            <w:pPr>
              <w:jc w:val="center"/>
              <w:rPr>
                <w:szCs w:val="21"/>
              </w:rPr>
            </w:pPr>
            <w:r>
              <w:rPr>
                <w:rFonts w:hint="eastAsia"/>
                <w:szCs w:val="21"/>
              </w:rPr>
              <w:t>台</w:t>
            </w:r>
          </w:p>
        </w:tc>
        <w:tc>
          <w:tcPr>
            <w:tcW w:w="425" w:type="dxa"/>
            <w:vAlign w:val="center"/>
          </w:tcPr>
          <w:p w14:paraId="4DCEF27A">
            <w:pPr>
              <w:jc w:val="center"/>
              <w:rPr>
                <w:szCs w:val="21"/>
              </w:rPr>
            </w:pPr>
            <w:r>
              <w:rPr>
                <w:rFonts w:hint="eastAsia"/>
                <w:szCs w:val="21"/>
              </w:rPr>
              <w:t>2</w:t>
            </w:r>
          </w:p>
        </w:tc>
        <w:tc>
          <w:tcPr>
            <w:tcW w:w="665" w:type="dxa"/>
            <w:vAlign w:val="center"/>
          </w:tcPr>
          <w:p w14:paraId="1739100F">
            <w:pPr>
              <w:jc w:val="center"/>
              <w:rPr>
                <w:szCs w:val="21"/>
              </w:rPr>
            </w:pPr>
            <w:r>
              <w:rPr>
                <w:rFonts w:hint="eastAsia"/>
                <w:szCs w:val="21"/>
              </w:rPr>
              <w:t>否</w:t>
            </w:r>
          </w:p>
        </w:tc>
        <w:tc>
          <w:tcPr>
            <w:tcW w:w="805" w:type="dxa"/>
            <w:vAlign w:val="center"/>
          </w:tcPr>
          <w:p w14:paraId="0329CBD8">
            <w:pPr>
              <w:jc w:val="center"/>
              <w:rPr>
                <w:szCs w:val="21"/>
              </w:rPr>
            </w:pPr>
            <w:r>
              <w:rPr>
                <w:szCs w:val="21"/>
              </w:rPr>
              <w:t>否</w:t>
            </w:r>
          </w:p>
        </w:tc>
      </w:tr>
    </w:tbl>
    <w:p w14:paraId="7DBF30C6"/>
    <w:p w14:paraId="2ABF140B">
      <w:pPr>
        <w:spacing w:line="360" w:lineRule="auto"/>
        <w:ind w:firstLine="480" w:firstLineChars="200"/>
        <w:outlineLvl w:val="0"/>
        <w:rPr>
          <w:sz w:val="24"/>
        </w:rPr>
      </w:pPr>
      <w:r>
        <w:rPr>
          <w:rFonts w:hint="eastAsia"/>
          <w:sz w:val="24"/>
        </w:rPr>
        <w:t>注：</w:t>
      </w:r>
    </w:p>
    <w:p w14:paraId="7F70A410">
      <w:pPr>
        <w:spacing w:line="360" w:lineRule="auto"/>
        <w:ind w:firstLine="480" w:firstLineChars="200"/>
        <w:outlineLvl w:val="0"/>
        <w:rPr>
          <w:sz w:val="24"/>
        </w:rPr>
      </w:pPr>
      <w:r>
        <w:rPr>
          <w:sz w:val="24"/>
        </w:rPr>
        <w:t>加注“</w:t>
      </w:r>
      <w:r>
        <w:rPr>
          <w:rFonts w:hint="eastAsia" w:ascii="宋体" w:hAnsi="宋体" w:cs="宋体"/>
          <w:sz w:val="24"/>
        </w:rPr>
        <w:t>★</w:t>
      </w:r>
      <w:r>
        <w:rPr>
          <w:sz w:val="24"/>
        </w:rPr>
        <w:t>”号条款为实质性条款，不得出现负偏离，发生负偏离即做无效标处理。</w:t>
      </w:r>
    </w:p>
    <w:p w14:paraId="1F52F140">
      <w:pPr>
        <w:spacing w:line="360" w:lineRule="auto"/>
        <w:ind w:firstLine="480" w:firstLineChars="200"/>
        <w:outlineLvl w:val="0"/>
        <w:rPr>
          <w:sz w:val="24"/>
        </w:rPr>
      </w:pPr>
      <w:r>
        <w:rPr>
          <w:rFonts w:hint="eastAsia"/>
          <w:sz w:val="24"/>
        </w:rPr>
        <w:t>加注“▲”号的产品为核心产品（如项目需求书中未明确核心产品，则视为全部产品均为核心产品）。</w:t>
      </w:r>
    </w:p>
    <w:p w14:paraId="6740DFA5">
      <w:pPr>
        <w:spacing w:line="360" w:lineRule="auto"/>
        <w:ind w:firstLine="482" w:firstLineChars="200"/>
        <w:outlineLvl w:val="0"/>
        <w:rPr>
          <w:b/>
          <w:bCs/>
          <w:sz w:val="24"/>
        </w:rPr>
      </w:pPr>
      <w:r>
        <w:rPr>
          <w:rFonts w:hint="eastAsia"/>
          <w:b/>
          <w:bCs/>
          <w:sz w:val="24"/>
        </w:rPr>
        <w:t>其它要求（实质性要求）</w:t>
      </w:r>
    </w:p>
    <w:p w14:paraId="3ED0AE4F">
      <w:pPr>
        <w:spacing w:line="360" w:lineRule="auto"/>
        <w:ind w:firstLine="480" w:firstLineChars="200"/>
        <w:outlineLvl w:val="0"/>
        <w:rPr>
          <w:sz w:val="24"/>
        </w:rPr>
      </w:pPr>
      <w:r>
        <w:rPr>
          <w:rFonts w:hint="eastAsia"/>
          <w:sz w:val="24"/>
        </w:rPr>
        <w:t>1、</w:t>
      </w:r>
      <w:r>
        <w:rPr>
          <w:rFonts w:hint="eastAsia"/>
          <w:sz w:val="24"/>
        </w:rPr>
        <w:tab/>
      </w:r>
      <w:r>
        <w:rPr>
          <w:rFonts w:hint="eastAsia"/>
          <w:sz w:val="24"/>
        </w:rPr>
        <w:t>售后服务及承诺质保期：自终验日期起，提供五年免费质保。</w:t>
      </w:r>
    </w:p>
    <w:p w14:paraId="3F7DBBFD">
      <w:pPr>
        <w:spacing w:line="360" w:lineRule="auto"/>
        <w:ind w:firstLine="480" w:firstLineChars="200"/>
        <w:outlineLvl w:val="0"/>
        <w:rPr>
          <w:sz w:val="24"/>
        </w:rPr>
      </w:pPr>
      <w:r>
        <w:rPr>
          <w:rFonts w:hint="eastAsia"/>
          <w:sz w:val="24"/>
        </w:rPr>
        <w:t>2、</w:t>
      </w:r>
      <w:r>
        <w:rPr>
          <w:rFonts w:hint="eastAsia"/>
          <w:sz w:val="24"/>
        </w:rPr>
        <w:tab/>
      </w:r>
      <w:r>
        <w:rPr>
          <w:rFonts w:hint="eastAsia"/>
          <w:sz w:val="24"/>
        </w:rPr>
        <w:t>投标人资格要求：要求供应商为实力雄厚、技术领先的大中型企业，以提供安全的软、硬件解决方案。</w:t>
      </w:r>
    </w:p>
    <w:p w14:paraId="4BFDEC68">
      <w:pPr>
        <w:spacing w:line="360" w:lineRule="auto"/>
        <w:ind w:firstLine="482" w:firstLineChars="200"/>
        <w:rPr>
          <w:rFonts w:hint="eastAsia" w:ascii="宋体" w:hAnsi="宋体"/>
          <w:b/>
          <w:sz w:val="24"/>
        </w:rPr>
      </w:pPr>
      <w:r>
        <w:rPr>
          <w:rFonts w:hint="eastAsia" w:ascii="宋体" w:hAnsi="宋体"/>
          <w:b/>
          <w:sz w:val="24"/>
        </w:rPr>
        <w:t>五、商务要求</w:t>
      </w:r>
    </w:p>
    <w:p w14:paraId="6763288C">
      <w:pPr>
        <w:spacing w:line="360" w:lineRule="auto"/>
        <w:ind w:firstLine="480" w:firstLineChars="200"/>
        <w:outlineLvl w:val="0"/>
        <w:rPr>
          <w:sz w:val="24"/>
        </w:rPr>
      </w:pPr>
      <w:r>
        <w:rPr>
          <w:rFonts w:hint="eastAsia"/>
          <w:sz w:val="24"/>
        </w:rPr>
        <w:t>1. 提供所投产品5年免费上门保修，终身维修，保修期内7×24小时技术响应，2小时内维修工程师到达现场并在24小时内予以解决。</w:t>
      </w:r>
    </w:p>
    <w:p w14:paraId="621769BC">
      <w:pPr>
        <w:spacing w:line="360" w:lineRule="auto"/>
        <w:ind w:firstLine="480" w:firstLineChars="200"/>
        <w:outlineLvl w:val="0"/>
        <w:rPr>
          <w:sz w:val="24"/>
        </w:rPr>
      </w:pPr>
      <w:r>
        <w:rPr>
          <w:rFonts w:hint="eastAsia"/>
          <w:sz w:val="24"/>
        </w:rPr>
        <w:t>2. 货到：签订合同之日起15日内（特殊情况以合同为准）。</w:t>
      </w:r>
    </w:p>
    <w:p w14:paraId="37403A33">
      <w:pPr>
        <w:spacing w:line="360" w:lineRule="auto"/>
        <w:ind w:firstLine="480" w:firstLineChars="200"/>
        <w:outlineLvl w:val="0"/>
        <w:rPr>
          <w:sz w:val="24"/>
        </w:rPr>
      </w:pPr>
      <w:r>
        <w:rPr>
          <w:rFonts w:hint="eastAsia"/>
          <w:sz w:val="24"/>
        </w:rPr>
        <w:t>安装（施工）完成：货到之日起5日内（特殊情况以合同为准）。</w:t>
      </w:r>
    </w:p>
    <w:p w14:paraId="36057565">
      <w:pPr>
        <w:spacing w:line="360" w:lineRule="auto"/>
        <w:ind w:firstLine="480" w:firstLineChars="200"/>
        <w:outlineLvl w:val="0"/>
        <w:rPr>
          <w:sz w:val="24"/>
        </w:rPr>
      </w:pPr>
      <w:r>
        <w:rPr>
          <w:rFonts w:hint="eastAsia"/>
          <w:sz w:val="24"/>
        </w:rPr>
        <w:t>3.付款方式：签订合同之日起15日内支付合同总额的30%，货到安装调试完成验收合格之日起15日内支付合同总额的70%。</w:t>
      </w:r>
    </w:p>
    <w:p w14:paraId="1302ABAF">
      <w:pPr>
        <w:spacing w:line="360" w:lineRule="auto"/>
        <w:rPr>
          <w:rFonts w:hint="eastAsia" w:ascii="宋体" w:hAnsi="宋体"/>
          <w:sz w:val="24"/>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7BCBB"/>
    <w:multiLevelType w:val="singleLevel"/>
    <w:tmpl w:val="6D37BCBB"/>
    <w:lvl w:ilvl="0" w:tentative="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zYWQzYWVmYTM2M2I4YmVjNzFmYThlYjViMmIwMDYifQ=="/>
  </w:docVars>
  <w:rsids>
    <w:rsidRoot w:val="00DB3902"/>
    <w:rsid w:val="0000135E"/>
    <w:rsid w:val="00011AF5"/>
    <w:rsid w:val="000123CA"/>
    <w:rsid w:val="00020438"/>
    <w:rsid w:val="000247DC"/>
    <w:rsid w:val="00045631"/>
    <w:rsid w:val="0005004C"/>
    <w:rsid w:val="00071693"/>
    <w:rsid w:val="00076776"/>
    <w:rsid w:val="0008767F"/>
    <w:rsid w:val="000A2D6B"/>
    <w:rsid w:val="000A5647"/>
    <w:rsid w:val="000A6FE9"/>
    <w:rsid w:val="000A7CD6"/>
    <w:rsid w:val="000C184F"/>
    <w:rsid w:val="000E109B"/>
    <w:rsid w:val="000E2EAA"/>
    <w:rsid w:val="000E3422"/>
    <w:rsid w:val="000E68CD"/>
    <w:rsid w:val="00111F73"/>
    <w:rsid w:val="001335EE"/>
    <w:rsid w:val="001358CC"/>
    <w:rsid w:val="001400A9"/>
    <w:rsid w:val="00170BA9"/>
    <w:rsid w:val="00170C09"/>
    <w:rsid w:val="001805F6"/>
    <w:rsid w:val="001845EE"/>
    <w:rsid w:val="001A4C59"/>
    <w:rsid w:val="001A4DD5"/>
    <w:rsid w:val="001B54A9"/>
    <w:rsid w:val="001D0C0D"/>
    <w:rsid w:val="001E584B"/>
    <w:rsid w:val="001E7CF5"/>
    <w:rsid w:val="001F481B"/>
    <w:rsid w:val="001F60D5"/>
    <w:rsid w:val="00201493"/>
    <w:rsid w:val="002053EF"/>
    <w:rsid w:val="00235B22"/>
    <w:rsid w:val="00244BBF"/>
    <w:rsid w:val="00263A46"/>
    <w:rsid w:val="00263D9A"/>
    <w:rsid w:val="00270221"/>
    <w:rsid w:val="00270619"/>
    <w:rsid w:val="0027757B"/>
    <w:rsid w:val="002964AE"/>
    <w:rsid w:val="002E519C"/>
    <w:rsid w:val="00305686"/>
    <w:rsid w:val="00306C12"/>
    <w:rsid w:val="00315235"/>
    <w:rsid w:val="00330E0D"/>
    <w:rsid w:val="0033397A"/>
    <w:rsid w:val="003545AA"/>
    <w:rsid w:val="00367EEE"/>
    <w:rsid w:val="003A0037"/>
    <w:rsid w:val="003A336E"/>
    <w:rsid w:val="003D5150"/>
    <w:rsid w:val="003D6EFB"/>
    <w:rsid w:val="003E7311"/>
    <w:rsid w:val="003F429C"/>
    <w:rsid w:val="003F507E"/>
    <w:rsid w:val="00410F83"/>
    <w:rsid w:val="00412918"/>
    <w:rsid w:val="00431D9E"/>
    <w:rsid w:val="004459D2"/>
    <w:rsid w:val="0045575F"/>
    <w:rsid w:val="00460F10"/>
    <w:rsid w:val="00483C3E"/>
    <w:rsid w:val="004A1DD6"/>
    <w:rsid w:val="004D2432"/>
    <w:rsid w:val="004E5CED"/>
    <w:rsid w:val="004F0C45"/>
    <w:rsid w:val="005204C1"/>
    <w:rsid w:val="0056347D"/>
    <w:rsid w:val="0057138B"/>
    <w:rsid w:val="00574287"/>
    <w:rsid w:val="005823C2"/>
    <w:rsid w:val="00584AB5"/>
    <w:rsid w:val="00597F4C"/>
    <w:rsid w:val="005C0E7E"/>
    <w:rsid w:val="005C780E"/>
    <w:rsid w:val="005D55EA"/>
    <w:rsid w:val="005E1CCE"/>
    <w:rsid w:val="0060194F"/>
    <w:rsid w:val="006020D0"/>
    <w:rsid w:val="00606FB2"/>
    <w:rsid w:val="00616E51"/>
    <w:rsid w:val="0062621F"/>
    <w:rsid w:val="006322E8"/>
    <w:rsid w:val="00634D3F"/>
    <w:rsid w:val="00644356"/>
    <w:rsid w:val="00645A07"/>
    <w:rsid w:val="006573C0"/>
    <w:rsid w:val="00670D9A"/>
    <w:rsid w:val="00680419"/>
    <w:rsid w:val="00682E4E"/>
    <w:rsid w:val="00687F4A"/>
    <w:rsid w:val="006B06EF"/>
    <w:rsid w:val="006B0B20"/>
    <w:rsid w:val="006D17C5"/>
    <w:rsid w:val="006D263F"/>
    <w:rsid w:val="007135F6"/>
    <w:rsid w:val="007200AE"/>
    <w:rsid w:val="007433F3"/>
    <w:rsid w:val="00746194"/>
    <w:rsid w:val="00774BEE"/>
    <w:rsid w:val="00785041"/>
    <w:rsid w:val="007A45E1"/>
    <w:rsid w:val="007B6678"/>
    <w:rsid w:val="007D00B5"/>
    <w:rsid w:val="00803310"/>
    <w:rsid w:val="00843A83"/>
    <w:rsid w:val="00845E60"/>
    <w:rsid w:val="00861373"/>
    <w:rsid w:val="00861EA9"/>
    <w:rsid w:val="008662DD"/>
    <w:rsid w:val="008A6D81"/>
    <w:rsid w:val="008B4923"/>
    <w:rsid w:val="008C68C8"/>
    <w:rsid w:val="008D10DD"/>
    <w:rsid w:val="008D566D"/>
    <w:rsid w:val="009161CD"/>
    <w:rsid w:val="0091671E"/>
    <w:rsid w:val="00922E8E"/>
    <w:rsid w:val="00930995"/>
    <w:rsid w:val="009356EC"/>
    <w:rsid w:val="00944537"/>
    <w:rsid w:val="00945B13"/>
    <w:rsid w:val="0094738D"/>
    <w:rsid w:val="009712E5"/>
    <w:rsid w:val="00973637"/>
    <w:rsid w:val="00990B50"/>
    <w:rsid w:val="009A114C"/>
    <w:rsid w:val="009B4ECF"/>
    <w:rsid w:val="009D6ECB"/>
    <w:rsid w:val="009E14A0"/>
    <w:rsid w:val="00A038A0"/>
    <w:rsid w:val="00A154E9"/>
    <w:rsid w:val="00A21C5C"/>
    <w:rsid w:val="00A27F3F"/>
    <w:rsid w:val="00A41912"/>
    <w:rsid w:val="00A54AEF"/>
    <w:rsid w:val="00A71C25"/>
    <w:rsid w:val="00A772E5"/>
    <w:rsid w:val="00A90225"/>
    <w:rsid w:val="00A934AB"/>
    <w:rsid w:val="00A94A0D"/>
    <w:rsid w:val="00AA0AF1"/>
    <w:rsid w:val="00AA137D"/>
    <w:rsid w:val="00AB1AAA"/>
    <w:rsid w:val="00AB5375"/>
    <w:rsid w:val="00AB683B"/>
    <w:rsid w:val="00AC1733"/>
    <w:rsid w:val="00AE12DF"/>
    <w:rsid w:val="00AE2D62"/>
    <w:rsid w:val="00AF0F74"/>
    <w:rsid w:val="00B15F5E"/>
    <w:rsid w:val="00B169E3"/>
    <w:rsid w:val="00B462D8"/>
    <w:rsid w:val="00B46F60"/>
    <w:rsid w:val="00B965D1"/>
    <w:rsid w:val="00BA394C"/>
    <w:rsid w:val="00BB18C7"/>
    <w:rsid w:val="00BC76A7"/>
    <w:rsid w:val="00BD1056"/>
    <w:rsid w:val="00BF4747"/>
    <w:rsid w:val="00C17BFA"/>
    <w:rsid w:val="00C204C2"/>
    <w:rsid w:val="00C207AF"/>
    <w:rsid w:val="00C27BD2"/>
    <w:rsid w:val="00C37835"/>
    <w:rsid w:val="00C560F1"/>
    <w:rsid w:val="00C60BAE"/>
    <w:rsid w:val="00C75C8E"/>
    <w:rsid w:val="00C82EF1"/>
    <w:rsid w:val="00CB1A31"/>
    <w:rsid w:val="00CC180E"/>
    <w:rsid w:val="00CC29E1"/>
    <w:rsid w:val="00CE1F46"/>
    <w:rsid w:val="00CE576F"/>
    <w:rsid w:val="00D17989"/>
    <w:rsid w:val="00D440D3"/>
    <w:rsid w:val="00D5625F"/>
    <w:rsid w:val="00D655A7"/>
    <w:rsid w:val="00D874CD"/>
    <w:rsid w:val="00D92402"/>
    <w:rsid w:val="00D96549"/>
    <w:rsid w:val="00DA58DC"/>
    <w:rsid w:val="00DB3902"/>
    <w:rsid w:val="00DE48FB"/>
    <w:rsid w:val="00DE5123"/>
    <w:rsid w:val="00DE6C4C"/>
    <w:rsid w:val="00E00018"/>
    <w:rsid w:val="00E268BE"/>
    <w:rsid w:val="00E30365"/>
    <w:rsid w:val="00E425EF"/>
    <w:rsid w:val="00E55C1F"/>
    <w:rsid w:val="00E57285"/>
    <w:rsid w:val="00EA4C82"/>
    <w:rsid w:val="00EB261E"/>
    <w:rsid w:val="00EC4AE3"/>
    <w:rsid w:val="00EC6833"/>
    <w:rsid w:val="00ED4738"/>
    <w:rsid w:val="00EF0A57"/>
    <w:rsid w:val="00F11972"/>
    <w:rsid w:val="00F12DFA"/>
    <w:rsid w:val="00F34B97"/>
    <w:rsid w:val="00F40AFD"/>
    <w:rsid w:val="00F435AC"/>
    <w:rsid w:val="00F50D93"/>
    <w:rsid w:val="00F736E2"/>
    <w:rsid w:val="00F73D28"/>
    <w:rsid w:val="00F86C54"/>
    <w:rsid w:val="00F873E2"/>
    <w:rsid w:val="00F87F9F"/>
    <w:rsid w:val="00F95F1C"/>
    <w:rsid w:val="00FA1E3C"/>
    <w:rsid w:val="00FB491C"/>
    <w:rsid w:val="00FC126E"/>
    <w:rsid w:val="00FD77B3"/>
    <w:rsid w:val="02820350"/>
    <w:rsid w:val="038046B7"/>
    <w:rsid w:val="03FD0E3E"/>
    <w:rsid w:val="04794225"/>
    <w:rsid w:val="049A7BD3"/>
    <w:rsid w:val="065B5A88"/>
    <w:rsid w:val="06B17456"/>
    <w:rsid w:val="06FB67BE"/>
    <w:rsid w:val="0788465B"/>
    <w:rsid w:val="088309E8"/>
    <w:rsid w:val="09A80857"/>
    <w:rsid w:val="0B316DB7"/>
    <w:rsid w:val="0B3643CE"/>
    <w:rsid w:val="0B49789A"/>
    <w:rsid w:val="0B7A7CC3"/>
    <w:rsid w:val="0C6E02C3"/>
    <w:rsid w:val="0E72396F"/>
    <w:rsid w:val="0F5C0B51"/>
    <w:rsid w:val="10926DBF"/>
    <w:rsid w:val="118063A3"/>
    <w:rsid w:val="11BF4D40"/>
    <w:rsid w:val="12D82FDD"/>
    <w:rsid w:val="133E2072"/>
    <w:rsid w:val="13550080"/>
    <w:rsid w:val="17290A30"/>
    <w:rsid w:val="19D67E3A"/>
    <w:rsid w:val="1AD06F70"/>
    <w:rsid w:val="1C737230"/>
    <w:rsid w:val="1D3617C8"/>
    <w:rsid w:val="1D764824"/>
    <w:rsid w:val="1F6A4ADE"/>
    <w:rsid w:val="1F8A2A58"/>
    <w:rsid w:val="20954321"/>
    <w:rsid w:val="21401A3F"/>
    <w:rsid w:val="21C30312"/>
    <w:rsid w:val="21E4078C"/>
    <w:rsid w:val="22EA5AA1"/>
    <w:rsid w:val="235F193C"/>
    <w:rsid w:val="23760F5B"/>
    <w:rsid w:val="24132CA6"/>
    <w:rsid w:val="24AA4DDC"/>
    <w:rsid w:val="2524556B"/>
    <w:rsid w:val="2590711C"/>
    <w:rsid w:val="2610297D"/>
    <w:rsid w:val="26234D89"/>
    <w:rsid w:val="266D7A18"/>
    <w:rsid w:val="27E15995"/>
    <w:rsid w:val="29010F39"/>
    <w:rsid w:val="2AAF224E"/>
    <w:rsid w:val="2C4133C1"/>
    <w:rsid w:val="321073EE"/>
    <w:rsid w:val="32220E91"/>
    <w:rsid w:val="328508C1"/>
    <w:rsid w:val="34262A8D"/>
    <w:rsid w:val="354550F3"/>
    <w:rsid w:val="35767811"/>
    <w:rsid w:val="35DA1C76"/>
    <w:rsid w:val="3795172C"/>
    <w:rsid w:val="3A695377"/>
    <w:rsid w:val="3B697D24"/>
    <w:rsid w:val="3CF14232"/>
    <w:rsid w:val="3D8175A7"/>
    <w:rsid w:val="412D70FE"/>
    <w:rsid w:val="42767986"/>
    <w:rsid w:val="42BA0E65"/>
    <w:rsid w:val="4A600544"/>
    <w:rsid w:val="4B542B77"/>
    <w:rsid w:val="4B9F6E1F"/>
    <w:rsid w:val="4C9F327B"/>
    <w:rsid w:val="509947B0"/>
    <w:rsid w:val="531E2FF2"/>
    <w:rsid w:val="5499550F"/>
    <w:rsid w:val="55A55633"/>
    <w:rsid w:val="55AE3C0E"/>
    <w:rsid w:val="56B658DB"/>
    <w:rsid w:val="571F48F7"/>
    <w:rsid w:val="598C7B89"/>
    <w:rsid w:val="59A1148A"/>
    <w:rsid w:val="5A44475B"/>
    <w:rsid w:val="5AF80E2D"/>
    <w:rsid w:val="5B506723"/>
    <w:rsid w:val="5BA81D4B"/>
    <w:rsid w:val="5DE20E9D"/>
    <w:rsid w:val="5F0D6C9F"/>
    <w:rsid w:val="614B38A4"/>
    <w:rsid w:val="61A5698F"/>
    <w:rsid w:val="61B63590"/>
    <w:rsid w:val="61DC44FC"/>
    <w:rsid w:val="62064B81"/>
    <w:rsid w:val="6372539B"/>
    <w:rsid w:val="63E80DAE"/>
    <w:rsid w:val="643876B9"/>
    <w:rsid w:val="663E5786"/>
    <w:rsid w:val="66EB763C"/>
    <w:rsid w:val="678E0D4D"/>
    <w:rsid w:val="6B2807B2"/>
    <w:rsid w:val="6BBF5D3D"/>
    <w:rsid w:val="6BC758CE"/>
    <w:rsid w:val="6E8247DF"/>
    <w:rsid w:val="70577F0C"/>
    <w:rsid w:val="72C264DB"/>
    <w:rsid w:val="73A82490"/>
    <w:rsid w:val="74B26A80"/>
    <w:rsid w:val="77C67628"/>
    <w:rsid w:val="7BD13B5F"/>
    <w:rsid w:val="7F7ED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link w:val="23"/>
    <w:autoRedefine/>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7"/>
    <w:qFormat/>
    <w:uiPriority w:val="10"/>
    <w:pPr>
      <w:spacing w:before="240" w:after="60"/>
      <w:jc w:val="center"/>
      <w:outlineLvl w:val="0"/>
    </w:pPr>
    <w:rPr>
      <w:rFonts w:ascii="Cambria" w:hAnsi="Cambria"/>
      <w:b/>
      <w:bCs/>
      <w:sz w:val="32"/>
      <w:szCs w:val="32"/>
    </w:rPr>
  </w:style>
  <w:style w:type="paragraph" w:styleId="8">
    <w:name w:val="annotation subject"/>
    <w:basedOn w:val="3"/>
    <w:next w:val="3"/>
    <w:link w:val="24"/>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semiHidden/>
    <w:qFormat/>
    <w:uiPriority w:val="0"/>
  </w:style>
  <w:style w:type="character" w:styleId="13">
    <w:name w:val="Hyperlink"/>
    <w:autoRedefine/>
    <w:unhideWhenUsed/>
    <w:qFormat/>
    <w:uiPriority w:val="99"/>
    <w:rPr>
      <w:color w:val="0000FF"/>
      <w:u w:val="single"/>
    </w:rPr>
  </w:style>
  <w:style w:type="character" w:styleId="14">
    <w:name w:val="annotation reference"/>
    <w:basedOn w:val="11"/>
    <w:autoRedefine/>
    <w:qFormat/>
    <w:uiPriority w:val="0"/>
    <w:rPr>
      <w:sz w:val="21"/>
      <w:szCs w:val="21"/>
    </w:rPr>
  </w:style>
  <w:style w:type="character" w:customStyle="1" w:styleId="15">
    <w:name w:val="页脚 字符"/>
    <w:link w:val="5"/>
    <w:qFormat/>
    <w:uiPriority w:val="0"/>
    <w:rPr>
      <w:kern w:val="2"/>
      <w:sz w:val="18"/>
      <w:szCs w:val="18"/>
    </w:rPr>
  </w:style>
  <w:style w:type="character" w:customStyle="1" w:styleId="16">
    <w:name w:val="页眉 字符"/>
    <w:link w:val="6"/>
    <w:autoRedefine/>
    <w:qFormat/>
    <w:uiPriority w:val="0"/>
    <w:rPr>
      <w:kern w:val="2"/>
      <w:sz w:val="18"/>
      <w:szCs w:val="18"/>
    </w:rPr>
  </w:style>
  <w:style w:type="character" w:customStyle="1" w:styleId="17">
    <w:name w:val="标题 字符"/>
    <w:link w:val="7"/>
    <w:autoRedefine/>
    <w:qFormat/>
    <w:uiPriority w:val="10"/>
    <w:rPr>
      <w:rFonts w:ascii="Cambria" w:hAnsi="Cambria"/>
      <w:b/>
      <w:bCs/>
      <w:kern w:val="2"/>
      <w:sz w:val="32"/>
      <w:szCs w:val="32"/>
    </w:rPr>
  </w:style>
  <w:style w:type="paragraph" w:customStyle="1" w:styleId="18">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20">
    <w:name w:val="List Paragraph"/>
    <w:basedOn w:val="1"/>
    <w:autoRedefine/>
    <w:qFormat/>
    <w:uiPriority w:val="34"/>
    <w:pPr>
      <w:ind w:firstLine="420" w:firstLineChars="200"/>
    </w:pPr>
    <w:rPr>
      <w:rFonts w:ascii="Calibri" w:hAnsi="Calibri"/>
      <w:szCs w:val="22"/>
    </w:rPr>
  </w:style>
  <w:style w:type="paragraph" w:customStyle="1" w:styleId="21">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2">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3">
    <w:name w:val="批注文字 字符"/>
    <w:basedOn w:val="11"/>
    <w:link w:val="3"/>
    <w:autoRedefine/>
    <w:qFormat/>
    <w:uiPriority w:val="0"/>
    <w:rPr>
      <w:kern w:val="2"/>
      <w:sz w:val="21"/>
      <w:szCs w:val="24"/>
    </w:rPr>
  </w:style>
  <w:style w:type="character" w:customStyle="1" w:styleId="24">
    <w:name w:val="批注主题 字符"/>
    <w:basedOn w:val="23"/>
    <w:link w:val="8"/>
    <w:autoRedefine/>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3079</Words>
  <Characters>3430</Characters>
  <Lines>53</Lines>
  <Paragraphs>15</Paragraphs>
  <TotalTime>9</TotalTime>
  <ScaleCrop>false</ScaleCrop>
  <LinksUpToDate>false</LinksUpToDate>
  <CharactersWithSpaces>3476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2023-09-27T11:26:00Z</dcterms:created>
  <dc:creator>薛昊</dc:creator>
  <cp:lastModifiedBy>古灵娇妍</cp:lastModifiedBy>
  <cp:lastPrinted>2023-10-16T08:14:00Z</cp:lastPrinted>
  <dcterms:modified xsi:type="dcterms:W3CDTF">2025-07-14T08:45:01Z</dcterms:modified>
  <dc:title>项目需求书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AA5ADDAA518844A290CE2C5D3EDEB12E_13</vt:lpwstr>
  </property>
  <property fmtid="{D5CDD505-2E9C-101B-9397-08002B2CF9AE}" pid="4" name="KSOTemplateDocerSaveRecord">
    <vt:lpwstr>eyJoZGlkIjoiMjMxMzdjYjQ0ZDE4YjMzZjQxMTFlNjkzOTE0ZGNlOTQiLCJ1c2VySWQiOiI4NTI0Njg3NjQifQ==</vt:lpwstr>
  </property>
</Properties>
</file>